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FB" w:rsidRDefault="00227EFB" w:rsidP="00227EFB">
      <w:pPr>
        <w:rPr>
          <w:b/>
          <w:sz w:val="24"/>
        </w:rPr>
      </w:pPr>
      <w:bookmarkStart w:id="0" w:name="_GoBack"/>
      <w:bookmarkEnd w:id="0"/>
    </w:p>
    <w:tbl>
      <w:tblPr>
        <w:tblW w:w="1034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349"/>
      </w:tblGrid>
      <w:tr w:rsidR="00227EFB" w:rsidTr="00064575">
        <w:trPr>
          <w:cantSplit/>
          <w:trHeight w:val="843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EFB" w:rsidRPr="00227EFB" w:rsidRDefault="00227EFB" w:rsidP="00104E8C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</w:p>
          <w:p w:rsidR="00227EFB" w:rsidRPr="00064575" w:rsidRDefault="00227EFB" w:rsidP="00064575">
            <w:pPr>
              <w:widowControl w:val="0"/>
              <w:shd w:val="clear" w:color="auto" w:fill="D9D9D9" w:themeFill="background1" w:themeFillShade="D9"/>
              <w:jc w:val="center"/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</w:pPr>
            <w:r w:rsidRPr="00514CB5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>C</w:t>
            </w:r>
            <w:r w:rsidR="00B22885" w:rsidRPr="00514CB5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 xml:space="preserve">HECK LIST </w:t>
            </w:r>
            <w:r w:rsidRPr="00514CB5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 xml:space="preserve"> </w:t>
            </w:r>
          </w:p>
        </w:tc>
      </w:tr>
      <w:tr w:rsidR="00227EFB" w:rsidTr="000837D2">
        <w:trPr>
          <w:cantSplit/>
          <w:trHeight w:val="952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:rsidR="00227EFB" w:rsidRDefault="00227EFB" w:rsidP="00A17C3E">
            <w:pPr>
              <w:widowControl w:val="0"/>
              <w:shd w:val="pct12" w:color="auto" w:fill="auto"/>
              <w:jc w:val="center"/>
              <w:rPr>
                <w:rFonts w:ascii="Arial" w:hAnsi="Arial"/>
                <w:b/>
                <w:snapToGrid w:val="0"/>
              </w:rPr>
            </w:pPr>
          </w:p>
          <w:p w:rsidR="00227EFB" w:rsidRDefault="003805C3" w:rsidP="00A17C3E">
            <w:pPr>
              <w:widowControl w:val="0"/>
              <w:shd w:val="pct12" w:color="auto" w:fill="auto"/>
              <w:jc w:val="center"/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>RAPPORTI CON ORGANISMI PARTECIPATI</w:t>
            </w:r>
            <w:r w:rsidR="00A93A3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 xml:space="preserve"> E VERIFICHE</w:t>
            </w:r>
          </w:p>
          <w:p w:rsidR="00227EFB" w:rsidRDefault="00227EFB" w:rsidP="00A17C3E">
            <w:pPr>
              <w:widowControl w:val="0"/>
              <w:shd w:val="pct12" w:color="auto" w:fill="auto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</w:tbl>
    <w:p w:rsidR="000837D2" w:rsidRDefault="000837D2"/>
    <w:p w:rsidR="006A2114" w:rsidRPr="006A2114" w:rsidRDefault="006A2114" w:rsidP="006A2114">
      <w:pPr>
        <w:jc w:val="both"/>
        <w:rPr>
          <w:rFonts w:cs="Arial"/>
          <w:b/>
          <w:sz w:val="24"/>
          <w:szCs w:val="22"/>
          <w:u w:val="single"/>
        </w:rPr>
      </w:pPr>
      <w:bookmarkStart w:id="1" w:name="_Toc379377479"/>
      <w:r w:rsidRPr="006A2114">
        <w:rPr>
          <w:rFonts w:cs="Arial"/>
          <w:b/>
          <w:sz w:val="24"/>
          <w:szCs w:val="22"/>
          <w:u w:val="single"/>
        </w:rPr>
        <w:t>Verifica rapporti di debito e credito con i propri enti strumentali e le società controllate e partecipate</w:t>
      </w:r>
      <w:bookmarkEnd w:id="1"/>
    </w:p>
    <w:p w:rsidR="006A2114" w:rsidRDefault="006A2114"/>
    <w:p w:rsidR="006A2114" w:rsidRDefault="006A2114"/>
    <w:tbl>
      <w:tblPr>
        <w:tblW w:w="949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3119"/>
      </w:tblGrid>
      <w:tr w:rsidR="00064575" w:rsidRPr="00E56E02" w:rsidTr="00064575">
        <w:trPr>
          <w:cantSplit/>
          <w:trHeight w:val="284"/>
          <w:jc w:val="center"/>
        </w:trPr>
        <w:tc>
          <w:tcPr>
            <w:tcW w:w="5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064575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:rsidR="00064575" w:rsidRPr="00E56E02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64575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:rsidR="00064575" w:rsidRPr="00E56E02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64575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:rsidR="00064575" w:rsidRPr="00E56E02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64575" w:rsidRPr="00E56E02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Commenti</w:t>
            </w:r>
          </w:p>
        </w:tc>
      </w:tr>
      <w:tr w:rsidR="00064575" w:rsidRPr="001818C5" w:rsidTr="00064575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75" w:rsidRDefault="00064575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>1) Il sistema informativo consente di rilevare i rapporti finanziari, economici e patrimoniali tra l’Ente e le sue società partecipate</w:t>
            </w:r>
            <w:r w:rsidR="00CB1390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4575" w:rsidRPr="001818C5" w:rsidRDefault="00064575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575" w:rsidRPr="001818C5" w:rsidRDefault="0006457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575" w:rsidRPr="001818C5" w:rsidRDefault="0006457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064575" w:rsidRPr="001818C5" w:rsidTr="00FD2C43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CB1390" w:rsidRDefault="00064575" w:rsidP="00CB1390">
            <w:pPr>
              <w:pStyle w:val="Paragrafoelenco"/>
              <w:widowControl w:val="0"/>
              <w:numPr>
                <w:ilvl w:val="1"/>
                <w:numId w:val="3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cs="Arial"/>
              </w:rPr>
            </w:pPr>
            <w:r w:rsidRPr="00CB1390">
              <w:rPr>
                <w:rFonts w:cs="Arial"/>
              </w:rPr>
              <w:t>(</w:t>
            </w:r>
            <w:r w:rsidRPr="00CB1390">
              <w:rPr>
                <w:rFonts w:cs="Arial"/>
                <w:i/>
              </w:rPr>
              <w:t>in caso di risposta affermativa alla domanda n. 1</w:t>
            </w:r>
            <w:r w:rsidRPr="00CB1390">
              <w:rPr>
                <w:rFonts w:cs="Arial"/>
              </w:rPr>
              <w:t xml:space="preserve">) </w:t>
            </w:r>
          </w:p>
          <w:p w:rsidR="00064575" w:rsidRPr="00CB1390" w:rsidRDefault="00064575" w:rsidP="00CB139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cs="Arial"/>
              </w:rPr>
            </w:pPr>
            <w:r w:rsidRPr="00CB1390">
              <w:rPr>
                <w:rFonts w:cs="Arial"/>
              </w:rPr>
              <w:t>Il sistema informativo consente anche la scomposizione dei rapporti nelle loro componenti elementari (causali dei flussi finanziari, economici e patrimoniale)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4575" w:rsidRPr="00064575" w:rsidRDefault="00064575" w:rsidP="00064575">
            <w:pPr>
              <w:widowControl w:val="0"/>
              <w:rPr>
                <w:i/>
                <w:snapToGrid w:val="0"/>
              </w:rPr>
            </w:pPr>
            <w:r w:rsidRPr="00064575">
              <w:rPr>
                <w:i/>
                <w:snapToGrid w:val="0"/>
              </w:rPr>
              <w:t xml:space="preserve">Commento: </w:t>
            </w:r>
          </w:p>
        </w:tc>
      </w:tr>
    </w:tbl>
    <w:p w:rsidR="006A2114" w:rsidRDefault="006A2114">
      <w:pPr>
        <w:rPr>
          <w:sz w:val="24"/>
        </w:rPr>
      </w:pPr>
    </w:p>
    <w:p w:rsidR="000837D2" w:rsidRDefault="00CB1390">
      <w:r>
        <w:rPr>
          <w:sz w:val="24"/>
        </w:rPr>
        <w:t>V</w:t>
      </w:r>
      <w:r w:rsidR="000837D2" w:rsidRPr="000837D2">
        <w:rPr>
          <w:sz w:val="24"/>
        </w:rPr>
        <w:t>erifica di cui all’art. 11, comma 6, lett. j) del d.lgs. n. 118/2011:</w:t>
      </w:r>
    </w:p>
    <w:p w:rsidR="000837D2" w:rsidRDefault="000837D2"/>
    <w:bookmarkStart w:id="2" w:name="_MON_1613560201"/>
    <w:bookmarkEnd w:id="2"/>
    <w:p w:rsidR="000837D2" w:rsidRDefault="00D42F94" w:rsidP="000837D2">
      <w:pPr>
        <w:jc w:val="center"/>
      </w:pPr>
      <w:r>
        <w:object w:dxaOrig="11677" w:dyaOrig="7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332.25pt" o:ole="">
            <v:imagedata r:id="rId7" o:title=""/>
          </v:shape>
          <o:OLEObject Type="Embed" ProgID="Excel.Sheet.12" ShapeID="_x0000_i1025" DrawAspect="Content" ObjectID="_1616914517" r:id="rId8"/>
        </w:object>
      </w:r>
    </w:p>
    <w:p w:rsidR="000837D2" w:rsidRDefault="000837D2" w:rsidP="000837D2">
      <w:pPr>
        <w:jc w:val="both"/>
        <w:rPr>
          <w:sz w:val="24"/>
        </w:rPr>
      </w:pPr>
      <w:r w:rsidRPr="000837D2">
        <w:rPr>
          <w:sz w:val="24"/>
        </w:rPr>
        <w:t xml:space="preserve">Non sono risultati coincidenti </w:t>
      </w:r>
      <w:r>
        <w:rPr>
          <w:sz w:val="24"/>
        </w:rPr>
        <w:t>n. …….</w:t>
      </w:r>
      <w:r w:rsidRPr="000837D2">
        <w:rPr>
          <w:sz w:val="24"/>
        </w:rPr>
        <w:t xml:space="preserve"> rapporti</w:t>
      </w:r>
      <w:r>
        <w:rPr>
          <w:sz w:val="24"/>
        </w:rPr>
        <w:t xml:space="preserve"> tra l’Ente e i propri enti/società controllati/partecipati; in merito, sono state fornite le seguenti informazioni: </w:t>
      </w:r>
    </w:p>
    <w:p w:rsidR="00DC6F18" w:rsidRDefault="00DC6F18" w:rsidP="000837D2">
      <w:pPr>
        <w:jc w:val="both"/>
        <w:rPr>
          <w:sz w:val="24"/>
        </w:rPr>
      </w:pPr>
    </w:p>
    <w:p w:rsidR="00DC6F18" w:rsidRDefault="00DC6F18" w:rsidP="000837D2">
      <w:pPr>
        <w:jc w:val="both"/>
        <w:rPr>
          <w:sz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234"/>
        <w:gridCol w:w="2095"/>
        <w:gridCol w:w="1517"/>
        <w:gridCol w:w="2725"/>
      </w:tblGrid>
      <w:tr w:rsidR="00DC6F18" w:rsidRPr="00DC6F18" w:rsidTr="00DC6F18">
        <w:trPr>
          <w:trHeight w:val="1228"/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</w:rPr>
            </w:pPr>
            <w:r w:rsidRPr="00DC6F18">
              <w:rPr>
                <w:b/>
                <w:szCs w:val="24"/>
              </w:rPr>
              <w:t xml:space="preserve">ENTE/SOCIETÀ 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  <w:u w:val="single"/>
              </w:rPr>
            </w:pPr>
            <w:r w:rsidRPr="00DC6F18">
              <w:rPr>
                <w:b/>
                <w:szCs w:val="24"/>
              </w:rPr>
              <w:t xml:space="preserve">SALDO CONTABILE </w:t>
            </w:r>
            <w:r w:rsidRPr="00DC6F18">
              <w:rPr>
                <w:b/>
                <w:szCs w:val="24"/>
                <w:u w:val="single"/>
              </w:rPr>
              <w:t>COMUNE</w:t>
            </w:r>
          </w:p>
          <w:p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</w:rPr>
            </w:pPr>
            <w:r w:rsidRPr="00DC6F18">
              <w:rPr>
                <w:b/>
                <w:szCs w:val="24"/>
              </w:rPr>
              <w:t>(+ credito/-debito)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DC6F18" w:rsidRDefault="00DC6F18" w:rsidP="004217FD">
            <w:pPr>
              <w:spacing w:line="360" w:lineRule="auto"/>
              <w:jc w:val="center"/>
              <w:rPr>
                <w:b/>
                <w:szCs w:val="24"/>
              </w:rPr>
            </w:pPr>
          </w:p>
          <w:p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  <w:u w:val="single"/>
              </w:rPr>
            </w:pPr>
            <w:r w:rsidRPr="00DC6F18">
              <w:rPr>
                <w:b/>
                <w:szCs w:val="24"/>
              </w:rPr>
              <w:t xml:space="preserve">SALDO CONTABILE </w:t>
            </w:r>
            <w:r w:rsidRPr="00DC6F18">
              <w:rPr>
                <w:b/>
                <w:szCs w:val="24"/>
                <w:u w:val="single"/>
              </w:rPr>
              <w:t>ENTE/SOCIETÀ</w:t>
            </w:r>
          </w:p>
          <w:p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</w:rPr>
            </w:pPr>
            <w:r w:rsidRPr="00DC6F18">
              <w:rPr>
                <w:b/>
                <w:szCs w:val="24"/>
              </w:rPr>
              <w:t>(+ credito/-debito)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</w:rPr>
            </w:pPr>
            <w:r w:rsidRPr="00DC6F18">
              <w:rPr>
                <w:b/>
                <w:szCs w:val="24"/>
              </w:rPr>
              <w:t>DIFFERENZA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</w:rPr>
            </w:pPr>
            <w:r w:rsidRPr="00DC6F18">
              <w:rPr>
                <w:b/>
                <w:szCs w:val="24"/>
              </w:rPr>
              <w:t>MOTIVAZIONE DIFFERENZA</w:t>
            </w:r>
          </w:p>
        </w:tc>
      </w:tr>
      <w:tr w:rsidR="00DC6F18" w:rsidRPr="00C27D2C" w:rsidTr="004217FD">
        <w:trPr>
          <w:trHeight w:val="374"/>
          <w:jc w:val="center"/>
        </w:trPr>
        <w:tc>
          <w:tcPr>
            <w:tcW w:w="1779" w:type="dxa"/>
            <w:shd w:val="clear" w:color="auto" w:fill="auto"/>
          </w:tcPr>
          <w:p w:rsidR="00DC6F18" w:rsidRPr="006D6BAE" w:rsidRDefault="00DC6F18" w:rsidP="004217FD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108" w:type="dxa"/>
            <w:shd w:val="clear" w:color="auto" w:fill="auto"/>
          </w:tcPr>
          <w:p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439" w:type="dxa"/>
          </w:tcPr>
          <w:p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760" w:type="dxa"/>
            <w:shd w:val="clear" w:color="auto" w:fill="auto"/>
          </w:tcPr>
          <w:p w:rsidR="00DC6F18" w:rsidRPr="00C27D2C" w:rsidRDefault="00DC6F18" w:rsidP="004217FD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</w:tr>
      <w:tr w:rsidR="00DC6F18" w:rsidRPr="00C27D2C" w:rsidTr="004217FD">
        <w:trPr>
          <w:trHeight w:val="374"/>
          <w:jc w:val="center"/>
        </w:trPr>
        <w:tc>
          <w:tcPr>
            <w:tcW w:w="1779" w:type="dxa"/>
            <w:shd w:val="clear" w:color="auto" w:fill="auto"/>
          </w:tcPr>
          <w:p w:rsidR="00DC6F18" w:rsidRPr="006D6BAE" w:rsidRDefault="00DC6F18" w:rsidP="004217FD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108" w:type="dxa"/>
            <w:shd w:val="clear" w:color="auto" w:fill="auto"/>
          </w:tcPr>
          <w:p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439" w:type="dxa"/>
          </w:tcPr>
          <w:p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760" w:type="dxa"/>
            <w:shd w:val="clear" w:color="auto" w:fill="auto"/>
          </w:tcPr>
          <w:p w:rsidR="00DC6F18" w:rsidRPr="00C27D2C" w:rsidRDefault="00DC6F18" w:rsidP="004217FD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</w:tr>
      <w:tr w:rsidR="00DC6F18" w:rsidRPr="00C27D2C" w:rsidTr="004217FD">
        <w:trPr>
          <w:trHeight w:val="374"/>
          <w:jc w:val="center"/>
        </w:trPr>
        <w:tc>
          <w:tcPr>
            <w:tcW w:w="1779" w:type="dxa"/>
            <w:shd w:val="clear" w:color="auto" w:fill="auto"/>
          </w:tcPr>
          <w:p w:rsidR="00DC6F18" w:rsidRPr="006D6BAE" w:rsidRDefault="00DC6F18" w:rsidP="004217FD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108" w:type="dxa"/>
            <w:shd w:val="clear" w:color="auto" w:fill="auto"/>
          </w:tcPr>
          <w:p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439" w:type="dxa"/>
          </w:tcPr>
          <w:p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760" w:type="dxa"/>
            <w:shd w:val="clear" w:color="auto" w:fill="auto"/>
          </w:tcPr>
          <w:p w:rsidR="00DC6F18" w:rsidRPr="00C27D2C" w:rsidRDefault="00DC6F18" w:rsidP="004217FD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</w:tr>
      <w:tr w:rsidR="00DC6F18" w:rsidRPr="00C27D2C" w:rsidTr="004217FD">
        <w:trPr>
          <w:trHeight w:val="389"/>
          <w:jc w:val="center"/>
        </w:trPr>
        <w:tc>
          <w:tcPr>
            <w:tcW w:w="1779" w:type="dxa"/>
            <w:shd w:val="clear" w:color="auto" w:fill="auto"/>
          </w:tcPr>
          <w:p w:rsidR="00DC6F18" w:rsidRPr="007E4ED2" w:rsidRDefault="00DC6F18" w:rsidP="004217FD">
            <w:pPr>
              <w:spacing w:line="360" w:lineRule="auto"/>
              <w:jc w:val="both"/>
              <w:rPr>
                <w:b/>
                <w:sz w:val="22"/>
                <w:szCs w:val="24"/>
              </w:rPr>
            </w:pPr>
            <w:r w:rsidRPr="007E4ED2">
              <w:rPr>
                <w:b/>
                <w:sz w:val="22"/>
                <w:szCs w:val="24"/>
              </w:rPr>
              <w:t>TOT.</w:t>
            </w:r>
          </w:p>
        </w:tc>
        <w:tc>
          <w:tcPr>
            <w:tcW w:w="2262" w:type="dxa"/>
            <w:shd w:val="clear" w:color="auto" w:fill="auto"/>
          </w:tcPr>
          <w:p w:rsidR="00DC6F18" w:rsidRPr="007E4ED2" w:rsidRDefault="00064575" w:rsidP="004217FD">
            <w:pPr>
              <w:spacing w:line="360" w:lineRule="auto"/>
              <w:jc w:val="righ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2108" w:type="dxa"/>
            <w:shd w:val="clear" w:color="auto" w:fill="auto"/>
          </w:tcPr>
          <w:p w:rsidR="00DC6F18" w:rsidRPr="007E4ED2" w:rsidRDefault="00DC6F18" w:rsidP="004217FD">
            <w:pPr>
              <w:spacing w:line="360" w:lineRule="auto"/>
              <w:jc w:val="righ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439" w:type="dxa"/>
          </w:tcPr>
          <w:p w:rsidR="00DC6F18" w:rsidRPr="007E4ED2" w:rsidRDefault="00DC6F18" w:rsidP="004217FD">
            <w:pPr>
              <w:spacing w:line="360" w:lineRule="auto"/>
              <w:jc w:val="righ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2760" w:type="dxa"/>
            <w:shd w:val="clear" w:color="auto" w:fill="auto"/>
          </w:tcPr>
          <w:p w:rsidR="00DC6F18" w:rsidRPr="007E4ED2" w:rsidRDefault="00DC6F18" w:rsidP="004217FD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</w:p>
        </w:tc>
      </w:tr>
    </w:tbl>
    <w:p w:rsidR="00DC6F18" w:rsidRDefault="00DC6F18" w:rsidP="000837D2">
      <w:pPr>
        <w:jc w:val="both"/>
      </w:pPr>
    </w:p>
    <w:p w:rsidR="006A2114" w:rsidRPr="006A2114" w:rsidRDefault="00AC3222" w:rsidP="006A2114">
      <w:pPr>
        <w:rPr>
          <w:rFonts w:cs="Arial"/>
          <w:b/>
          <w:sz w:val="24"/>
          <w:szCs w:val="22"/>
          <w:u w:val="single"/>
        </w:rPr>
      </w:pPr>
      <w:r>
        <w:rPr>
          <w:rFonts w:cs="Arial"/>
          <w:b/>
          <w:sz w:val="24"/>
          <w:szCs w:val="22"/>
          <w:u w:val="single"/>
        </w:rPr>
        <w:t>(</w:t>
      </w:r>
      <w:r w:rsidRPr="00AC3222">
        <w:rPr>
          <w:rFonts w:cs="Arial"/>
          <w:b/>
          <w:i/>
          <w:sz w:val="24"/>
          <w:szCs w:val="22"/>
        </w:rPr>
        <w:t>eventuale</w:t>
      </w:r>
      <w:r>
        <w:rPr>
          <w:rFonts w:cs="Arial"/>
          <w:b/>
          <w:sz w:val="24"/>
          <w:szCs w:val="22"/>
          <w:u w:val="single"/>
        </w:rPr>
        <w:t xml:space="preserve">) </w:t>
      </w:r>
      <w:r w:rsidR="006A2114" w:rsidRPr="006A2114">
        <w:rPr>
          <w:rFonts w:cs="Arial"/>
          <w:b/>
          <w:sz w:val="24"/>
          <w:szCs w:val="22"/>
          <w:u w:val="single"/>
        </w:rPr>
        <w:t xml:space="preserve">Esternalizzazione dei servizi </w:t>
      </w:r>
    </w:p>
    <w:p w:rsidR="006A2114" w:rsidRDefault="006A2114" w:rsidP="006A2114">
      <w:pPr>
        <w:jc w:val="both"/>
        <w:rPr>
          <w:sz w:val="24"/>
        </w:rPr>
      </w:pPr>
      <w:r w:rsidRPr="006A2114">
        <w:rPr>
          <w:sz w:val="24"/>
        </w:rPr>
        <w:t>L’ente ha esternalizzato i seguenti servizi e/o sostenuto le seguenti spese</w:t>
      </w:r>
      <w:r>
        <w:rPr>
          <w:sz w:val="24"/>
        </w:rPr>
        <w:t>:</w:t>
      </w:r>
    </w:p>
    <w:p w:rsidR="006A2114" w:rsidRDefault="006A2114" w:rsidP="006A2114">
      <w:pPr>
        <w:jc w:val="both"/>
        <w:rPr>
          <w:sz w:val="24"/>
        </w:rPr>
      </w:pPr>
      <w:r>
        <w:rPr>
          <w:sz w:val="24"/>
        </w:rPr>
        <w:t>(</w:t>
      </w:r>
      <w:r w:rsidRPr="006A2114">
        <w:rPr>
          <w:i/>
          <w:sz w:val="24"/>
        </w:rPr>
        <w:t>si consiglia di predisporre un prospetto per ogni organismo/ente/società partecipato/controllato</w:t>
      </w:r>
      <w:r>
        <w:rPr>
          <w:sz w:val="24"/>
        </w:rPr>
        <w:t>)</w:t>
      </w:r>
    </w:p>
    <w:p w:rsidR="006A2114" w:rsidRDefault="006A2114" w:rsidP="006A2114">
      <w:pPr>
        <w:rPr>
          <w:sz w:val="24"/>
        </w:rPr>
      </w:pPr>
    </w:p>
    <w:bookmarkStart w:id="3" w:name="_MON_1613561781"/>
    <w:bookmarkEnd w:id="3"/>
    <w:p w:rsidR="006A2114" w:rsidRPr="006A2114" w:rsidRDefault="006A2114" w:rsidP="006A2114">
      <w:pPr>
        <w:jc w:val="center"/>
        <w:rPr>
          <w:sz w:val="24"/>
        </w:rPr>
      </w:pPr>
      <w:r>
        <w:rPr>
          <w:sz w:val="24"/>
        </w:rPr>
        <w:object w:dxaOrig="9021" w:dyaOrig="4570">
          <v:shape id="_x0000_i1026" type="#_x0000_t75" style="width:450.75pt;height:228.75pt" o:ole="">
            <v:imagedata r:id="rId9" o:title=""/>
          </v:shape>
          <o:OLEObject Type="Embed" ProgID="Excel.Sheet.12" ShapeID="_x0000_i1026" DrawAspect="Content" ObjectID="_1616914518" r:id="rId10"/>
        </w:object>
      </w:r>
    </w:p>
    <w:p w:rsidR="006A2114" w:rsidRPr="00AC3222" w:rsidRDefault="006A2114" w:rsidP="00AC3222">
      <w:pPr>
        <w:jc w:val="both"/>
        <w:rPr>
          <w:sz w:val="24"/>
        </w:rPr>
      </w:pPr>
    </w:p>
    <w:p w:rsidR="0050033A" w:rsidRDefault="0050033A" w:rsidP="0050033A">
      <w:pPr>
        <w:jc w:val="both"/>
        <w:rPr>
          <w:rFonts w:cs="Arial"/>
          <w:sz w:val="24"/>
        </w:rPr>
      </w:pPr>
      <w:r w:rsidRPr="0050033A">
        <w:rPr>
          <w:rFonts w:cs="Arial"/>
          <w:sz w:val="24"/>
        </w:rPr>
        <w:t>L’Ente ha proceduto nell’esercizio 201</w:t>
      </w:r>
      <w:r>
        <w:rPr>
          <w:rFonts w:cs="Arial"/>
          <w:sz w:val="24"/>
        </w:rPr>
        <w:t>8 all’</w:t>
      </w:r>
      <w:r w:rsidRPr="0050033A">
        <w:rPr>
          <w:rFonts w:cs="Arial"/>
          <w:sz w:val="24"/>
        </w:rPr>
        <w:t>ampliamento dell’oggetto dei seguenti contratti di servizio:</w:t>
      </w:r>
    </w:p>
    <w:p w:rsidR="0050033A" w:rsidRDefault="0050033A" w:rsidP="0050033A">
      <w:pPr>
        <w:pStyle w:val="Paragrafoelenco"/>
        <w:numPr>
          <w:ilvl w:val="0"/>
          <w:numId w:val="28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………………………………..;</w:t>
      </w:r>
    </w:p>
    <w:p w:rsidR="0050033A" w:rsidRPr="0050033A" w:rsidRDefault="0050033A" w:rsidP="0050033A">
      <w:pPr>
        <w:pStyle w:val="Paragrafoelenco"/>
        <w:numPr>
          <w:ilvl w:val="0"/>
          <w:numId w:val="28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</w:t>
      </w:r>
    </w:p>
    <w:p w:rsidR="00AC3222" w:rsidRDefault="00AC3222" w:rsidP="00AC3222">
      <w:pPr>
        <w:jc w:val="both"/>
        <w:rPr>
          <w:rFonts w:cs="Arial"/>
          <w:b/>
          <w:sz w:val="24"/>
          <w:szCs w:val="22"/>
          <w:u w:val="single"/>
        </w:rPr>
      </w:pPr>
    </w:p>
    <w:p w:rsidR="008C5A8A" w:rsidRDefault="008C5A8A" w:rsidP="008C5A8A">
      <w:pPr>
        <w:rPr>
          <w:rFonts w:cs="Arial"/>
          <w:b/>
          <w:sz w:val="24"/>
          <w:szCs w:val="22"/>
          <w:u w:val="single"/>
        </w:rPr>
      </w:pPr>
      <w:r w:rsidRPr="00064575">
        <w:rPr>
          <w:rFonts w:cs="Arial"/>
          <w:b/>
          <w:sz w:val="24"/>
          <w:szCs w:val="22"/>
          <w:u w:val="single"/>
        </w:rPr>
        <w:t>Costituzione di società e acquisto</w:t>
      </w:r>
      <w:r w:rsidRPr="008C5A8A">
        <w:rPr>
          <w:rFonts w:cs="Arial"/>
          <w:b/>
          <w:sz w:val="24"/>
          <w:szCs w:val="22"/>
          <w:u w:val="single"/>
        </w:rPr>
        <w:t xml:space="preserve"> di partecipazioni societarie</w:t>
      </w:r>
    </w:p>
    <w:p w:rsidR="00986DE1" w:rsidRDefault="00986DE1" w:rsidP="008C5A8A">
      <w:pPr>
        <w:rPr>
          <w:rFonts w:cs="Arial"/>
          <w:b/>
          <w:sz w:val="24"/>
          <w:szCs w:val="22"/>
          <w:u w:val="single"/>
        </w:rPr>
      </w:pPr>
    </w:p>
    <w:tbl>
      <w:tblPr>
        <w:tblW w:w="949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7"/>
      </w:tblGrid>
      <w:tr w:rsidR="00DB612E" w:rsidRPr="00E56E02" w:rsidTr="00DB612E">
        <w:trPr>
          <w:cantSplit/>
          <w:trHeight w:val="284"/>
          <w:jc w:val="center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DB612E" w:rsidRPr="00E56E02" w:rsidRDefault="00DB612E" w:rsidP="009261EE">
            <w:pPr>
              <w:widowControl w:val="0"/>
              <w:shd w:val="pct5" w:color="auto" w:fill="auto"/>
              <w:spacing w:line="276" w:lineRule="auto"/>
              <w:jc w:val="both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L’Ente ha costituito le seguenti società e/o acquisito partecipazioni nelle seguenti società:</w:t>
            </w:r>
          </w:p>
        </w:tc>
      </w:tr>
      <w:tr w:rsidR="00DB612E" w:rsidRPr="001818C5" w:rsidTr="00DB612E">
        <w:trPr>
          <w:cantSplit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12E" w:rsidRPr="00986DE1" w:rsidRDefault="00DB612E" w:rsidP="004217FD">
            <w:pPr>
              <w:widowControl w:val="0"/>
              <w:jc w:val="center"/>
              <w:rPr>
                <w:snapToGrid w:val="0"/>
                <w:sz w:val="22"/>
              </w:rPr>
            </w:pPr>
            <w:r w:rsidRPr="00986DE1">
              <w:rPr>
                <w:i/>
                <w:snapToGrid w:val="0"/>
                <w:sz w:val="22"/>
              </w:rPr>
              <w:t>Denominazione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12E" w:rsidRPr="00986DE1" w:rsidRDefault="00DB612E" w:rsidP="004217FD">
            <w:pPr>
              <w:widowControl w:val="0"/>
              <w:jc w:val="center"/>
              <w:rPr>
                <w:snapToGrid w:val="0"/>
                <w:sz w:val="22"/>
              </w:rPr>
            </w:pPr>
            <w:r w:rsidRPr="00986DE1">
              <w:rPr>
                <w:i/>
                <w:snapToGrid w:val="0"/>
                <w:sz w:val="22"/>
              </w:rPr>
              <w:t>Quota di partecipazione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  <w:r>
              <w:rPr>
                <w:i/>
                <w:snapToGrid w:val="0"/>
                <w:sz w:val="22"/>
              </w:rPr>
              <w:t xml:space="preserve">Rispetto procedura prevista ex art.5 Dlgs 175/2016 </w:t>
            </w:r>
          </w:p>
        </w:tc>
      </w:tr>
      <w:tr w:rsidR="00DB612E" w:rsidRPr="001818C5" w:rsidTr="00DB612E">
        <w:trPr>
          <w:cantSplit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</w:tr>
      <w:tr w:rsidR="00DB612E" w:rsidRPr="001818C5" w:rsidTr="00DB612E">
        <w:trPr>
          <w:cantSplit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</w:tr>
      <w:tr w:rsidR="00DB612E" w:rsidRPr="001818C5" w:rsidTr="00DB612E">
        <w:trPr>
          <w:cantSplit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</w:tr>
    </w:tbl>
    <w:p w:rsidR="00986DE1" w:rsidRPr="008C5A8A" w:rsidRDefault="00986DE1" w:rsidP="008C5A8A">
      <w:pPr>
        <w:rPr>
          <w:rFonts w:cs="Arial"/>
          <w:b/>
          <w:sz w:val="24"/>
          <w:szCs w:val="22"/>
          <w:u w:val="single"/>
        </w:rPr>
      </w:pPr>
    </w:p>
    <w:p w:rsidR="008C5A8A" w:rsidRDefault="008C5A8A" w:rsidP="00AC3222">
      <w:pPr>
        <w:jc w:val="both"/>
        <w:rPr>
          <w:rFonts w:cs="Arial"/>
          <w:b/>
          <w:sz w:val="24"/>
          <w:szCs w:val="22"/>
          <w:u w:val="single"/>
        </w:rPr>
      </w:pPr>
    </w:p>
    <w:tbl>
      <w:tblPr>
        <w:tblW w:w="949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3119"/>
      </w:tblGrid>
      <w:tr w:rsidR="008C5A8A" w:rsidRPr="00E56E02" w:rsidTr="008C5A8A">
        <w:trPr>
          <w:cantSplit/>
          <w:trHeight w:val="284"/>
          <w:jc w:val="center"/>
        </w:trPr>
        <w:tc>
          <w:tcPr>
            <w:tcW w:w="5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8C5A8A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:rsidR="008C5A8A" w:rsidRPr="00E56E02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C5A8A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:rsidR="008C5A8A" w:rsidRPr="00E56E02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C5A8A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:rsidR="008C5A8A" w:rsidRPr="00E56E02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C5A8A" w:rsidRPr="00E56E02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Commenti</w:t>
            </w:r>
          </w:p>
        </w:tc>
      </w:tr>
      <w:tr w:rsidR="008C5A8A" w:rsidRPr="001818C5" w:rsidTr="008C5A8A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A" w:rsidRDefault="008C5A8A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1) L’Ente ha rispettato quanto disposto dall’art. 3, commi 30, 31 e 32 della l. n. 244/2007 (trasferimento di risorse umane e finanziarie)</w:t>
            </w:r>
            <w:r w:rsidR="00CB1390">
              <w:rPr>
                <w:rFonts w:cs="Arial"/>
              </w:rPr>
              <w:t>.</w:t>
            </w:r>
          </w:p>
          <w:p w:rsidR="00921E11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A8A" w:rsidRPr="001818C5" w:rsidRDefault="008C5A8A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5A8A" w:rsidRPr="001818C5" w:rsidTr="008C5A8A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A" w:rsidRDefault="008C5A8A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2) La deliberazione </w:t>
            </w:r>
            <w:r w:rsidR="00921E11">
              <w:rPr>
                <w:rFonts w:cs="Arial"/>
              </w:rPr>
              <w:t>di costituzione della società o di acquisto di partecipazioni, anche indirette, è stato redatto in conformità a quanto previsto</w:t>
            </w:r>
            <w:r w:rsidR="002D1F69">
              <w:rPr>
                <w:rFonts w:cs="Arial"/>
              </w:rPr>
              <w:t xml:space="preserve"> dagli artt. </w:t>
            </w:r>
            <w:r w:rsidR="00921E11">
              <w:rPr>
                <w:rFonts w:cs="Arial"/>
              </w:rPr>
              <w:t>5, comma 1,</w:t>
            </w:r>
            <w:r w:rsidR="002D1F69">
              <w:rPr>
                <w:rFonts w:cs="Arial"/>
              </w:rPr>
              <w:t xml:space="preserve"> e 7</w:t>
            </w:r>
            <w:r w:rsidR="00921E11">
              <w:rPr>
                <w:rFonts w:cs="Arial"/>
              </w:rPr>
              <w:t xml:space="preserve"> del d.lgs. n. 175/2016</w:t>
            </w:r>
            <w:r w:rsidR="00CB1390">
              <w:rPr>
                <w:rFonts w:cs="Arial"/>
              </w:rPr>
              <w:t>.</w:t>
            </w:r>
          </w:p>
          <w:p w:rsidR="00921E11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A8A" w:rsidRPr="001818C5" w:rsidRDefault="008C5A8A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5A8A" w:rsidRPr="001818C5" w:rsidTr="008C5A8A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A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2.1) L’atto deliberativo di costituzione della società o di acquisto di partecipazioni, anche indirette, è stato posto in consultazione pubblica sul sito istituzionale dell’Ente</w:t>
            </w:r>
            <w:r w:rsidR="00CB1390">
              <w:rPr>
                <w:rFonts w:cs="Arial"/>
              </w:rPr>
              <w:t>.</w:t>
            </w:r>
          </w:p>
          <w:p w:rsidR="00921E11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affermativa indicare </w:t>
            </w:r>
            <w:r>
              <w:rPr>
                <w:rFonts w:cs="Arial"/>
                <w:i/>
              </w:rPr>
              <w:t>per quanto tempo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  <w:p w:rsidR="00921E11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A8A" w:rsidRPr="001818C5" w:rsidRDefault="008C5A8A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5A8A" w:rsidRPr="001818C5" w:rsidTr="008C5A8A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A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2.2) L’atto deliberativo è stato inviato alla Sezione regionale di controllo della Corte dei Conti competente e all’Autorità garante della concorrenza e del mercato</w:t>
            </w:r>
            <w:r w:rsidR="00CB1390">
              <w:rPr>
                <w:rFonts w:cs="Arial"/>
              </w:rPr>
              <w:t>.</w:t>
            </w:r>
          </w:p>
          <w:p w:rsidR="00921E11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affermativa indicare </w:t>
            </w:r>
            <w:r>
              <w:rPr>
                <w:rFonts w:cs="Arial"/>
                <w:i/>
              </w:rPr>
              <w:t>la data dell’invio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  <w:p w:rsidR="00921E11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A8A" w:rsidRPr="001818C5" w:rsidRDefault="008C5A8A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D1F69" w:rsidRPr="001818C5" w:rsidTr="008C5A8A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69" w:rsidRDefault="002D1F69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3) Nel caso in cui all’atto costitutivo abbia partecipato anche un socio privato, la scelta di quest’ultimo è avvenuta con procedure a evidenza pubblica, ai sensi dell’art. 5, comma 9, del d.lgs. n. 50/2016</w:t>
            </w:r>
            <w:r w:rsidR="00CB1390">
              <w:rPr>
                <w:rFonts w:cs="Arial"/>
              </w:rPr>
              <w:t>.</w:t>
            </w:r>
          </w:p>
          <w:p w:rsidR="002D1F69" w:rsidRDefault="002D1F69" w:rsidP="002D1F69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 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1F69" w:rsidRPr="001818C5" w:rsidRDefault="002D1F69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69" w:rsidRPr="001818C5" w:rsidRDefault="002D1F69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69" w:rsidRPr="001818C5" w:rsidRDefault="002D1F69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8C5A8A" w:rsidRDefault="008C5A8A" w:rsidP="00AC3222">
      <w:pPr>
        <w:jc w:val="both"/>
        <w:rPr>
          <w:rFonts w:cs="Arial"/>
          <w:b/>
          <w:sz w:val="24"/>
          <w:szCs w:val="22"/>
          <w:u w:val="single"/>
        </w:rPr>
      </w:pPr>
    </w:p>
    <w:p w:rsidR="00603E45" w:rsidRPr="00603E45" w:rsidRDefault="00603E45" w:rsidP="00603E45">
      <w:pPr>
        <w:rPr>
          <w:rFonts w:cs="Arial"/>
          <w:b/>
          <w:sz w:val="24"/>
          <w:szCs w:val="22"/>
          <w:u w:val="single"/>
        </w:rPr>
      </w:pPr>
      <w:r w:rsidRPr="00603E45">
        <w:rPr>
          <w:rFonts w:cs="Arial"/>
          <w:b/>
          <w:sz w:val="24"/>
          <w:szCs w:val="22"/>
          <w:u w:val="single"/>
        </w:rPr>
        <w:t xml:space="preserve">Razionalizzazione periodica delle partecipazioni pubbliche </w:t>
      </w:r>
    </w:p>
    <w:p w:rsidR="00986DE1" w:rsidRPr="00AC3222" w:rsidRDefault="00986DE1" w:rsidP="00AC3222">
      <w:pPr>
        <w:jc w:val="both"/>
        <w:rPr>
          <w:rFonts w:cs="Arial"/>
          <w:b/>
          <w:sz w:val="24"/>
          <w:szCs w:val="22"/>
          <w:u w:val="single"/>
        </w:rPr>
      </w:pPr>
    </w:p>
    <w:tbl>
      <w:tblPr>
        <w:tblW w:w="949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3119"/>
      </w:tblGrid>
      <w:tr w:rsidR="00603E45" w:rsidRPr="00E56E02" w:rsidTr="004217FD">
        <w:trPr>
          <w:cantSplit/>
          <w:trHeight w:val="284"/>
          <w:jc w:val="center"/>
        </w:trPr>
        <w:tc>
          <w:tcPr>
            <w:tcW w:w="5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603E45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:rsidR="00603E45" w:rsidRPr="00E56E02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03E45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:rsidR="00603E45" w:rsidRPr="00E56E02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03E45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:rsidR="00603E45" w:rsidRPr="00E56E02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03E45" w:rsidRPr="00E56E02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Commenti</w:t>
            </w:r>
          </w:p>
        </w:tc>
      </w:tr>
      <w:tr w:rsidR="00603E45" w:rsidRPr="001818C5" w:rsidTr="004217FD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45" w:rsidRDefault="00603E45" w:rsidP="00603E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1) In relazione alla razionalizzazione periodica delle partecipazioni pubbliche</w:t>
            </w:r>
            <w:r w:rsidR="000416F8">
              <w:rPr>
                <w:rFonts w:cs="Arial"/>
              </w:rPr>
              <w:t>, sono state rispettate le prescrizioni di cui agli artt. 4, 20 e 26</w:t>
            </w:r>
            <w:r w:rsidR="00CB1390">
              <w:rPr>
                <w:rFonts w:cs="Arial"/>
              </w:rPr>
              <w:t>.</w:t>
            </w:r>
          </w:p>
          <w:p w:rsidR="000416F8" w:rsidRDefault="000416F8" w:rsidP="00603E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E45" w:rsidRPr="001818C5" w:rsidRDefault="00603E45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03E45" w:rsidRPr="001818C5" w:rsidTr="004217FD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45" w:rsidRDefault="000416F8" w:rsidP="000416F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1.1</w:t>
            </w:r>
            <w:r w:rsidR="00603E45">
              <w:rPr>
                <w:rFonts w:cs="Arial"/>
              </w:rPr>
              <w:t xml:space="preserve">) </w:t>
            </w:r>
            <w:r>
              <w:rPr>
                <w:rFonts w:cs="Arial"/>
              </w:rPr>
              <w:t>In particolare, l’Ente nell’effettuare la ricognizione di cui al punto 1) ha individuato quelle che devono essere dismesse</w:t>
            </w:r>
            <w:r w:rsidR="00CB1390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E45" w:rsidRPr="001818C5" w:rsidRDefault="00603E45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03E45" w:rsidRPr="001818C5" w:rsidTr="004217FD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45" w:rsidRDefault="000416F8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03E45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  <w:r w:rsidR="00603E45">
              <w:rPr>
                <w:rFonts w:cs="Arial"/>
              </w:rPr>
              <w:t xml:space="preserve">) </w:t>
            </w:r>
            <w:r>
              <w:rPr>
                <w:rFonts w:cs="Arial"/>
              </w:rPr>
              <w:t>Nell’effettuare l’analisi dell’assetto complessivo di tutte le partecipazioni possedute, direttamente o indirettamente, ha predisposto un Piano per la loro razionalizzazione</w:t>
            </w:r>
            <w:r w:rsidR="00173829">
              <w:rPr>
                <w:rFonts w:cs="Arial"/>
              </w:rPr>
              <w:t xml:space="preserve"> corredato dall’apposita relazione tecnica</w:t>
            </w:r>
            <w:r w:rsidR="00CB1390">
              <w:rPr>
                <w:rFonts w:cs="Arial"/>
              </w:rPr>
              <w:t>.</w:t>
            </w:r>
          </w:p>
          <w:p w:rsidR="00603E45" w:rsidRDefault="00603E45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affermativa indicare </w:t>
            </w:r>
            <w:r w:rsidR="000416F8">
              <w:rPr>
                <w:rFonts w:cs="Arial"/>
                <w:i/>
              </w:rPr>
              <w:t>gli estremi del Piano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  <w:p w:rsidR="00603E45" w:rsidRDefault="00603E45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E45" w:rsidRPr="001818C5" w:rsidRDefault="00603E45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03E45" w:rsidRPr="001818C5" w:rsidTr="004217FD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29" w:rsidRDefault="00173829" w:rsidP="00173829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lastRenderedPageBreak/>
              <w:t>2) Nell’ambito del processo di razionalizzazione, anche ai sensi dell’art. 1, commi 611 e 612, della l. n. 190/2014, l’Ente ha provveduto a ricollocare il personale di società per le quali sono state dismesse le quote di partecipazione</w:t>
            </w:r>
            <w:r w:rsidR="00CB1390">
              <w:rPr>
                <w:rFonts w:cs="Arial"/>
              </w:rPr>
              <w:t>.</w:t>
            </w:r>
          </w:p>
          <w:p w:rsidR="00173829" w:rsidRDefault="00173829" w:rsidP="00173829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affermativa indicare </w:t>
            </w:r>
            <w:r>
              <w:rPr>
                <w:rFonts w:cs="Arial"/>
                <w:i/>
              </w:rPr>
              <w:t>le procedure di ricollocamento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  <w:p w:rsidR="00603E45" w:rsidRDefault="00173829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E45" w:rsidRPr="001818C5" w:rsidRDefault="00603E45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6A2114" w:rsidRDefault="006A2114"/>
    <w:p w:rsidR="00F17A40" w:rsidRPr="00F17A40" w:rsidRDefault="00F17A40" w:rsidP="00F17A40">
      <w:pPr>
        <w:rPr>
          <w:sz w:val="24"/>
        </w:rPr>
      </w:pPr>
      <w:r w:rsidRPr="00F17A40">
        <w:rPr>
          <w:sz w:val="24"/>
        </w:rPr>
        <w:t>Il piano di razionalizzazione:</w:t>
      </w:r>
    </w:p>
    <w:p w:rsidR="00F17A40" w:rsidRPr="00F17A40" w:rsidRDefault="00F17A40" w:rsidP="00F17A40">
      <w:pPr>
        <w:pStyle w:val="Paragrafoelenco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</w:rPr>
      </w:pPr>
      <w:r w:rsidRPr="00F17A40">
        <w:rPr>
          <w:sz w:val="24"/>
        </w:rPr>
        <w:t>è stato trasmesso, con le modalità previste dall’art. 17 del D.L. 90/2014, convertito con modificazioni dalla Legge 114/2014, in data ……………;</w:t>
      </w:r>
    </w:p>
    <w:p w:rsidR="00F17A40" w:rsidRPr="00F17A40" w:rsidRDefault="00F17A40" w:rsidP="00B61386">
      <w:pPr>
        <w:pStyle w:val="Paragrafoelenco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F17A40">
        <w:rPr>
          <w:sz w:val="24"/>
        </w:rPr>
        <w:t xml:space="preserve">è stato inviato alla Sezione Regionale di controllo della Corte dei Conti </w:t>
      </w:r>
      <w:r>
        <w:rPr>
          <w:sz w:val="24"/>
        </w:rPr>
        <w:t xml:space="preserve">e </w:t>
      </w:r>
      <w:r w:rsidRPr="00F17A40">
        <w:rPr>
          <w:sz w:val="24"/>
        </w:rPr>
        <w:t>alla struttura competente per l’indirizzo, il controllo e il monitoraggio prevista dall’art.15 del D.Lgs. 175/2016</w:t>
      </w:r>
      <w:r>
        <w:rPr>
          <w:sz w:val="24"/>
        </w:rPr>
        <w:t xml:space="preserve"> in data ………….</w:t>
      </w:r>
    </w:p>
    <w:p w:rsidR="00B61386" w:rsidRDefault="00B61386" w:rsidP="00B61386">
      <w:pPr>
        <w:rPr>
          <w:sz w:val="24"/>
        </w:rPr>
      </w:pPr>
      <w:r w:rsidRPr="00B61386">
        <w:rPr>
          <w:sz w:val="24"/>
        </w:rPr>
        <w:t xml:space="preserve">Le partecipazioni che risultano da </w:t>
      </w:r>
      <w:r>
        <w:rPr>
          <w:sz w:val="24"/>
        </w:rPr>
        <w:t>mantenere/</w:t>
      </w:r>
      <w:r w:rsidRPr="00B61386">
        <w:rPr>
          <w:sz w:val="24"/>
        </w:rPr>
        <w:t>dismettere sono</w:t>
      </w:r>
      <w:r>
        <w:rPr>
          <w:sz w:val="24"/>
        </w:rPr>
        <w:t xml:space="preserve"> le seguenti</w:t>
      </w:r>
      <w:r w:rsidRPr="00B61386">
        <w:rPr>
          <w:sz w:val="24"/>
        </w:rPr>
        <w:t>:</w:t>
      </w:r>
    </w:p>
    <w:p w:rsidR="00B61386" w:rsidRDefault="00B61386" w:rsidP="00B61386">
      <w:pPr>
        <w:rPr>
          <w:sz w:val="24"/>
        </w:rPr>
      </w:pPr>
      <w:r>
        <w:rPr>
          <w:sz w:val="24"/>
        </w:rPr>
        <w:t>(</w:t>
      </w:r>
      <w:r w:rsidRPr="006A2114">
        <w:rPr>
          <w:i/>
          <w:sz w:val="24"/>
        </w:rPr>
        <w:t>si consiglia di predisporre un prospetto per ogni società</w:t>
      </w:r>
      <w:r>
        <w:rPr>
          <w:sz w:val="24"/>
        </w:rPr>
        <w:t>)</w:t>
      </w:r>
    </w:p>
    <w:p w:rsidR="00B61386" w:rsidRDefault="00B61386" w:rsidP="00B61386">
      <w:pPr>
        <w:rPr>
          <w:sz w:val="24"/>
        </w:rPr>
      </w:pPr>
    </w:p>
    <w:tbl>
      <w:tblPr>
        <w:tblW w:w="9143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006"/>
        <w:gridCol w:w="5137"/>
      </w:tblGrid>
      <w:tr w:rsidR="00B61386" w:rsidRPr="00B61386" w:rsidTr="00B61386">
        <w:trPr>
          <w:cantSplit/>
          <w:trHeight w:val="284"/>
          <w:jc w:val="center"/>
        </w:trPr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B61386" w:rsidRPr="00B61386" w:rsidRDefault="00B61386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  <w:p w:rsidR="00B61386" w:rsidRPr="00B61386" w:rsidRDefault="00B61386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B61386">
              <w:rPr>
                <w:b/>
                <w:i/>
                <w:snapToGrid w:val="0"/>
                <w:sz w:val="24"/>
                <w:szCs w:val="24"/>
              </w:rPr>
              <w:t>Denominazione società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61386" w:rsidRDefault="00B61386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  <w:p w:rsidR="00B61386" w:rsidRPr="00B61386" w:rsidRDefault="00B61386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…………………………….</w:t>
            </w:r>
          </w:p>
        </w:tc>
      </w:tr>
      <w:tr w:rsidR="00B61386" w:rsidRPr="00B61386" w:rsidTr="00B61386">
        <w:trPr>
          <w:cantSplit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6" w:rsidRPr="00B61386" w:rsidRDefault="00B61386" w:rsidP="00B61386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</w:rPr>
            </w:pPr>
            <w:r w:rsidRPr="00B61386">
              <w:rPr>
                <w:snapToGrid w:val="0"/>
              </w:rPr>
              <w:t>Motivazioni alla base del mantenimento/dismissione della partecipazione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86" w:rsidRDefault="00B61386" w:rsidP="004217FD">
            <w:pPr>
              <w:widowControl w:val="0"/>
              <w:jc w:val="center"/>
              <w:rPr>
                <w:snapToGrid w:val="0"/>
              </w:rPr>
            </w:pPr>
          </w:p>
          <w:p w:rsidR="00B61386" w:rsidRPr="00B61386" w:rsidRDefault="00B61386" w:rsidP="004217F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19388A" w:rsidRPr="00B61386" w:rsidTr="00B61386">
        <w:trPr>
          <w:cantSplit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8A" w:rsidRPr="00B61386" w:rsidRDefault="0019388A" w:rsidP="00B61386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</w:rPr>
            </w:pPr>
            <w:r w:rsidRPr="00064575">
              <w:rPr>
                <w:snapToGrid w:val="0"/>
              </w:rPr>
              <w:t>Modalità di dismissione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8A" w:rsidRDefault="0019388A" w:rsidP="004217F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B61386" w:rsidRPr="00B61386" w:rsidTr="00B61386">
        <w:trPr>
          <w:cantSplit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6" w:rsidRPr="00B61386" w:rsidRDefault="00B61386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61386">
              <w:t>Attività svolta</w:t>
            </w:r>
            <w:r>
              <w:t xml:space="preserve"> dalla società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86" w:rsidRPr="00B61386" w:rsidRDefault="00B61386" w:rsidP="004217F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B61386" w:rsidRPr="00B61386" w:rsidTr="00B61386">
        <w:trPr>
          <w:cantSplit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6" w:rsidRPr="00B61386" w:rsidRDefault="00B61386" w:rsidP="00B61386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Classificazione ex artt. 4 e 26 D.lgs. n. 175/2016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86" w:rsidRPr="00B61386" w:rsidRDefault="00B61386" w:rsidP="004217F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B61386" w:rsidRPr="00B61386" w:rsidTr="00B61386">
        <w:trPr>
          <w:cantSplit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6" w:rsidRPr="00B61386" w:rsidRDefault="00B61386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61386">
              <w:t>Aggregazioni/fusione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86" w:rsidRPr="00B61386" w:rsidRDefault="00B61386" w:rsidP="004217F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B61386" w:rsidRPr="00B61386" w:rsidTr="00B61386">
        <w:trPr>
          <w:cantSplit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6" w:rsidRPr="00B61386" w:rsidRDefault="00B61386" w:rsidP="00B61386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Azioni di contenimento costi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86" w:rsidRPr="00B61386" w:rsidRDefault="00B61386" w:rsidP="004217FD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173829" w:rsidRDefault="00173829"/>
    <w:p w:rsidR="001F0FAD" w:rsidRPr="00D46591" w:rsidRDefault="00D46591" w:rsidP="001F0FAD">
      <w:pPr>
        <w:rPr>
          <w:rFonts w:cs="Arial"/>
          <w:b/>
          <w:sz w:val="24"/>
          <w:szCs w:val="22"/>
          <w:u w:val="single"/>
        </w:rPr>
      </w:pPr>
      <w:r>
        <w:rPr>
          <w:rFonts w:cs="Arial"/>
          <w:b/>
          <w:sz w:val="24"/>
          <w:szCs w:val="22"/>
          <w:u w:val="single"/>
        </w:rPr>
        <w:t>S</w:t>
      </w:r>
      <w:r w:rsidRPr="00D46591">
        <w:rPr>
          <w:rFonts w:cs="Arial"/>
          <w:b/>
          <w:sz w:val="24"/>
          <w:szCs w:val="22"/>
          <w:u w:val="single"/>
        </w:rPr>
        <w:t>ocietà che hanno conseguito perdite di esercizio</w:t>
      </w:r>
    </w:p>
    <w:p w:rsidR="00D46591" w:rsidRDefault="00D46591" w:rsidP="001F0FAD">
      <w:pPr>
        <w:rPr>
          <w:rFonts w:cs="Arial"/>
          <w:b/>
          <w:sz w:val="24"/>
          <w:szCs w:val="22"/>
          <w:u w:val="single"/>
        </w:rPr>
      </w:pPr>
    </w:p>
    <w:tbl>
      <w:tblPr>
        <w:tblW w:w="8985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591"/>
        <w:gridCol w:w="753"/>
        <w:gridCol w:w="709"/>
        <w:gridCol w:w="2932"/>
      </w:tblGrid>
      <w:tr w:rsidR="000103A0" w:rsidRPr="00E56E02" w:rsidTr="000103A0">
        <w:trPr>
          <w:cantSplit/>
          <w:trHeight w:val="254"/>
          <w:jc w:val="center"/>
        </w:trPr>
        <w:tc>
          <w:tcPr>
            <w:tcW w:w="4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0103A0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:rsidR="000103A0" w:rsidRPr="00E56E02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103A0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:rsidR="000103A0" w:rsidRPr="00E56E02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103A0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:rsidR="000103A0" w:rsidRPr="00E56E02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103A0" w:rsidRPr="00E56E02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Commenti</w:t>
            </w:r>
          </w:p>
        </w:tc>
      </w:tr>
      <w:tr w:rsidR="000103A0" w:rsidRPr="001818C5" w:rsidTr="000103A0">
        <w:trPr>
          <w:cantSplit/>
          <w:trHeight w:val="403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A0" w:rsidRDefault="000103A0" w:rsidP="001F0FA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>1) L’Ente si è astenuto dall’effettuare aumenti di capitale, trasferimenti straordinari, aperture di credito, nonché rilascio di garanzie a favore delle società partecipate non quotate che abbiano registrato, per tre esercizi consecutivi, perdite di esercizio, ovvero che abbiano utilizzato riserve disponibili per il ripiano di perdite anche infra-annuali (art. 14, comma 5, d.lgs. n. 175/2016)</w:t>
            </w:r>
            <w:r w:rsidR="00CB1390">
              <w:rPr>
                <w:rFonts w:cs="Arial"/>
              </w:rPr>
              <w:t>.</w:t>
            </w:r>
          </w:p>
          <w:p w:rsidR="000103A0" w:rsidRDefault="000103A0" w:rsidP="00D4659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 xml:space="preserve"> 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3A0" w:rsidRPr="001818C5" w:rsidRDefault="000103A0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3A0" w:rsidRPr="001818C5" w:rsidRDefault="000103A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3A0" w:rsidRPr="001818C5" w:rsidRDefault="000103A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0103A0" w:rsidRPr="001818C5" w:rsidTr="000103A0">
        <w:trPr>
          <w:cantSplit/>
          <w:trHeight w:val="416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A0" w:rsidRDefault="000103A0" w:rsidP="00D4659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>2) In caso di perdite che abbiano ridotto il capitale sociale al di sotto del limite legale, con la determinazione di ricapitalizzazione, è stata valutata la redditività futura della società in perdita</w:t>
            </w:r>
            <w:r w:rsidR="00CB1390">
              <w:rPr>
                <w:rFonts w:cs="Arial"/>
              </w:rPr>
              <w:t>.</w:t>
            </w:r>
          </w:p>
          <w:p w:rsidR="000103A0" w:rsidRDefault="000103A0" w:rsidP="00D4659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affermativa indicare </w:t>
            </w:r>
            <w:r>
              <w:rPr>
                <w:rFonts w:cs="Arial"/>
                <w:i/>
              </w:rPr>
              <w:t xml:space="preserve">l’esito della valutazione nella </w:t>
            </w:r>
            <w:r w:rsidRPr="00202ED7">
              <w:rPr>
                <w:rFonts w:cs="Arial"/>
                <w:i/>
              </w:rPr>
              <w:t>sezione “commenti”</w:t>
            </w:r>
            <w:r w:rsidRPr="00202ED7">
              <w:rPr>
                <w:rFonts w:cs="Arial"/>
              </w:rPr>
              <w:t>)</w:t>
            </w:r>
          </w:p>
          <w:p w:rsidR="000103A0" w:rsidRDefault="000103A0" w:rsidP="00D4659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3A0" w:rsidRPr="001818C5" w:rsidRDefault="000103A0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3A0" w:rsidRPr="001818C5" w:rsidRDefault="000103A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3A0" w:rsidRPr="001818C5" w:rsidRDefault="000103A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0103A0" w:rsidRPr="001818C5" w:rsidTr="000103A0">
        <w:trPr>
          <w:cantSplit/>
          <w:trHeight w:val="1653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A0" w:rsidRPr="000103A0" w:rsidRDefault="000103A0" w:rsidP="004C663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3) In caso di risultato economico negativo conseguito nei tre esercizi precedenti, è stata disposta la riduzione </w:t>
            </w:r>
            <w:r w:rsidRPr="000103A0">
              <w:rPr>
                <w:rFonts w:cs="Arial"/>
              </w:rPr>
              <w:t>del 30% dei compensi degli amministratori, ovvero la loro revoca</w:t>
            </w:r>
            <w:r w:rsidR="00CB1390">
              <w:rPr>
                <w:rFonts w:cs="Arial"/>
              </w:rPr>
              <w:t>.</w:t>
            </w:r>
          </w:p>
          <w:p w:rsidR="000103A0" w:rsidRPr="004C663B" w:rsidRDefault="000103A0" w:rsidP="004C663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 w:rsidRPr="000103A0">
              <w:rPr>
                <w:rFonts w:cs="Arial"/>
              </w:rPr>
              <w:t xml:space="preserve"> (</w:t>
            </w:r>
            <w:r w:rsidRPr="000103A0">
              <w:rPr>
                <w:rFonts w:cs="Arial"/>
                <w:i/>
              </w:rPr>
              <w:t>in caso di risposta negativa indicarne le ragioni nella sezione “commenti”</w:t>
            </w:r>
            <w:r w:rsidRPr="000103A0">
              <w:rPr>
                <w:rFonts w:cs="Arial"/>
              </w:rPr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3A0" w:rsidRPr="001818C5" w:rsidRDefault="000103A0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3A0" w:rsidRPr="001818C5" w:rsidRDefault="000103A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3A0" w:rsidRPr="001818C5" w:rsidRDefault="000103A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1F0FAD" w:rsidRDefault="001F0FAD" w:rsidP="001F0FAD">
      <w:pPr>
        <w:rPr>
          <w:sz w:val="24"/>
        </w:rPr>
      </w:pPr>
    </w:p>
    <w:p w:rsidR="005C5A21" w:rsidRDefault="005C5A21" w:rsidP="005C5A21">
      <w:pPr>
        <w:rPr>
          <w:rFonts w:cs="Arial"/>
          <w:b/>
          <w:sz w:val="24"/>
          <w:szCs w:val="22"/>
          <w:u w:val="single"/>
        </w:rPr>
      </w:pPr>
      <w:r w:rsidRPr="005C5A21">
        <w:rPr>
          <w:rFonts w:cs="Arial"/>
          <w:b/>
          <w:sz w:val="24"/>
          <w:szCs w:val="22"/>
          <w:u w:val="single"/>
        </w:rPr>
        <w:t>Ulteriori controlli in materia di organismi partecipati</w:t>
      </w:r>
    </w:p>
    <w:p w:rsidR="005C5A21" w:rsidRDefault="005C5A21" w:rsidP="005C5A21">
      <w:pPr>
        <w:rPr>
          <w:rFonts w:cs="Arial"/>
          <w:b/>
          <w:sz w:val="24"/>
          <w:szCs w:val="22"/>
          <w:u w:val="single"/>
        </w:rPr>
      </w:pPr>
    </w:p>
    <w:p w:rsidR="005C5A21" w:rsidRDefault="005C5A21">
      <w:pPr>
        <w:rPr>
          <w:rFonts w:cs="Arial"/>
          <w:sz w:val="24"/>
          <w:szCs w:val="22"/>
        </w:rPr>
      </w:pPr>
      <w:r>
        <w:rPr>
          <w:sz w:val="24"/>
          <w:szCs w:val="22"/>
        </w:rPr>
        <w:t>È</w:t>
      </w:r>
      <w:r>
        <w:rPr>
          <w:rFonts w:cs="Arial"/>
          <w:sz w:val="24"/>
          <w:szCs w:val="22"/>
        </w:rPr>
        <w:t xml:space="preserve"> stato verificato il rispetto delle seguenti disposizioni:</w:t>
      </w:r>
    </w:p>
    <w:p w:rsidR="005C5A21" w:rsidRDefault="005C5A21">
      <w:pPr>
        <w:rPr>
          <w:rFonts w:cs="Arial"/>
          <w:sz w:val="24"/>
          <w:szCs w:val="22"/>
        </w:rPr>
      </w:pPr>
    </w:p>
    <w:tbl>
      <w:tblPr>
        <w:tblW w:w="942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432"/>
        <w:gridCol w:w="4997"/>
      </w:tblGrid>
      <w:tr w:rsidR="005C5A21" w:rsidRPr="00E56E02" w:rsidTr="005C5A21">
        <w:trPr>
          <w:cantSplit/>
          <w:trHeight w:val="284"/>
          <w:jc w:val="center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5C5A21" w:rsidRDefault="005C5A21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:rsidR="005C5A21" w:rsidRPr="00E56E02" w:rsidRDefault="005C5A21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C5A21" w:rsidRPr="00E56E02" w:rsidRDefault="005C5A21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Osservazioni</w:t>
            </w:r>
          </w:p>
        </w:tc>
      </w:tr>
      <w:tr w:rsidR="005C5A21" w:rsidRPr="001818C5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1" w:rsidRDefault="005C5A21" w:rsidP="005C5A2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 xml:space="preserve">1) </w:t>
            </w:r>
            <w:r>
              <w:t>art. 11, comma 3 del D.Lgs. 175/2016 (adeguata motivazione nella delibera assembleare della nomina del consiglio di amministrazione e numero massimo di consiglieri nelle società a controllo pubblico)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5A21" w:rsidRPr="001818C5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1" w:rsidRPr="005C5A21" w:rsidRDefault="005C5A21" w:rsidP="005C5A21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</w:pPr>
            <w:r>
              <w:rPr>
                <w:rFonts w:cs="Arial"/>
              </w:rPr>
              <w:t xml:space="preserve">2) </w:t>
            </w:r>
            <w:r>
              <w:t>art.11, comma 6 del D.Lgs. 175/2016 (entità massima dei compensi agli amministratori di società a controllo pubblico)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5A21" w:rsidRPr="001818C5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1" w:rsidRPr="000103A0" w:rsidRDefault="005C5A21" w:rsidP="005C5A2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 w:rsidRPr="000103A0">
              <w:rPr>
                <w:rFonts w:cs="Arial"/>
              </w:rPr>
              <w:t xml:space="preserve">3) </w:t>
            </w:r>
            <w:r w:rsidRPr="000103A0">
              <w:t>art. 1, comma 718 della l. n. 296/2006 (divieto di percezione di compensi da parte del Sindaco e assessori, se nominati membri dell’organo amministrativo di società partecipate)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5A21" w:rsidRPr="001818C5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1" w:rsidRPr="000103A0" w:rsidRDefault="005C5A21" w:rsidP="0044122E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 w:rsidRPr="000103A0">
              <w:rPr>
                <w:rFonts w:cs="Arial"/>
              </w:rPr>
              <w:t xml:space="preserve">4) </w:t>
            </w:r>
            <w:r w:rsidRPr="000103A0">
              <w:t xml:space="preserve">art. 1, comma 734 della l. n. 296/2006 (divieto di nomina di amministratore che nei 5 anni precedenti, ricoprendo cariche analoghe ha chiuso in perdita per </w:t>
            </w:r>
            <w:r w:rsidR="0044122E" w:rsidRPr="000103A0">
              <w:t>tre</w:t>
            </w:r>
            <w:r w:rsidRPr="000103A0">
              <w:t xml:space="preserve"> esercizi consecutivi)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5A21" w:rsidRPr="001818C5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1" w:rsidRDefault="0044122E" w:rsidP="0044122E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t>5) art. 11, comma 8 del D.Lgs. 175/2016 (divieto di nomina di amministratore per i dipendenti delle amministrazioni pubbliche controllanti e vigilanti e obbligo per i dipendenti della società controllante di riversare i relativi compensi alla società di appartenenza)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5A21" w:rsidRPr="001818C5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1" w:rsidRDefault="0044122E" w:rsidP="0044122E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t>6) art. 11, comma 13 del D.Lgs. 175/2016 (limiti dei compensi ai componenti di comitati con funzioni consultive o di proposta)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44122E" w:rsidRPr="001818C5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2E" w:rsidRDefault="0044122E" w:rsidP="0044122E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7)  art. 19 del D.Lgs. 175/2016 (reclutamento del personale)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2E" w:rsidRPr="001818C5" w:rsidRDefault="0044122E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5A21" w:rsidRPr="001818C5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1" w:rsidRDefault="0044122E" w:rsidP="005C5A2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t>8) in materia di adeguamento statuti societari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60070" w:rsidRPr="001818C5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70" w:rsidRDefault="00D60070" w:rsidP="00D6007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9) (</w:t>
            </w:r>
            <w:r w:rsidRPr="00D60070">
              <w:rPr>
                <w:i/>
              </w:rPr>
              <w:t>per le società in house</w:t>
            </w:r>
            <w:r>
              <w:t>) art. 16 del D.Lgs. 175/2016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70" w:rsidRPr="001818C5" w:rsidRDefault="00D6007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60070" w:rsidRPr="001818C5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70" w:rsidRDefault="00D60070" w:rsidP="00D6007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10) (</w:t>
            </w:r>
            <w:r w:rsidRPr="00D60070">
              <w:rPr>
                <w:i/>
              </w:rPr>
              <w:t>per le società miste</w:t>
            </w:r>
            <w:r>
              <w:t>) art. 17 del D.Lgs. 175/2016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70" w:rsidRPr="001818C5" w:rsidRDefault="00D6007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5C5A21" w:rsidRDefault="005C5A21">
      <w:pPr>
        <w:rPr>
          <w:rFonts w:cs="Arial"/>
          <w:sz w:val="24"/>
          <w:szCs w:val="22"/>
        </w:rPr>
      </w:pPr>
    </w:p>
    <w:p w:rsidR="005C5A21" w:rsidRDefault="005C5A21"/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EA5C69" w:rsidRPr="00574869" w:rsidTr="00514CB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C69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CONCLUSIONI PER L’AREA:</w:t>
            </w:r>
          </w:p>
          <w:p w:rsidR="00EA5C69" w:rsidRPr="00ED383F" w:rsidRDefault="007A3B0D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(considerazioni conclusive a valle della comprensione di cui sopra)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A5C69" w:rsidRPr="00574869" w:rsidRDefault="00EA5C69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EA5C69" w:rsidRPr="00574869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C69" w:rsidRPr="00ED383F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A5C69" w:rsidRPr="00574869" w:rsidRDefault="00EA5C69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EA5C69" w:rsidRPr="00574869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C69" w:rsidRPr="00ED383F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A5C69" w:rsidRPr="00574869" w:rsidRDefault="00EA5C69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:rsidTr="00514CB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4CB5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RISPOSTA  DI REVISIONE:</w:t>
            </w:r>
          </w:p>
          <w:p w:rsidR="00514CB5" w:rsidRPr="00ED383F" w:rsidRDefault="00514CB5" w:rsidP="00514CB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(procedure di revisione aggiuntive da dettagliare in fase di esecuzione della strategia di dettaglio)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:rsidTr="00514CB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4CB5" w:rsidRPr="00ED383F" w:rsidRDefault="00514CB5" w:rsidP="00514CB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RISCHI SULL’AREA: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DA6C6D" w:rsidRDefault="00DA6C6D" w:rsidP="00514CB5">
      <w:pPr>
        <w:spacing w:before="100" w:beforeAutospacing="1" w:after="100" w:afterAutospacing="1" w:line="360" w:lineRule="auto"/>
        <w:jc w:val="center"/>
        <w:rPr>
          <w:rFonts w:eastAsia="MS Mincho"/>
          <w:sz w:val="22"/>
        </w:rPr>
      </w:pPr>
    </w:p>
    <w:p w:rsidR="00DA6C6D" w:rsidRDefault="00514CB5" w:rsidP="003805C3">
      <w:pPr>
        <w:spacing w:before="100" w:beforeAutospacing="1" w:after="100" w:afterAutospacing="1" w:line="360" w:lineRule="auto"/>
        <w:rPr>
          <w:rFonts w:eastAsia="MS Mincho"/>
          <w:sz w:val="22"/>
        </w:rPr>
      </w:pPr>
      <w:r>
        <w:rPr>
          <w:rFonts w:eastAsia="MS Mincho"/>
          <w:sz w:val="22"/>
        </w:rPr>
        <w:t xml:space="preserve">Data: </w:t>
      </w:r>
      <w:r w:rsidR="00DA6C6D">
        <w:rPr>
          <w:rFonts w:eastAsia="MS Mincho"/>
          <w:sz w:val="22"/>
        </w:rPr>
        <w:t xml:space="preserve">_______     </w:t>
      </w:r>
      <w:r w:rsidR="003805C3">
        <w:rPr>
          <w:rFonts w:eastAsia="MS Mincho"/>
          <w:sz w:val="22"/>
        </w:rPr>
        <w:tab/>
      </w:r>
      <w:r w:rsidR="003805C3">
        <w:rPr>
          <w:rFonts w:eastAsia="MS Mincho"/>
          <w:sz w:val="22"/>
        </w:rPr>
        <w:tab/>
      </w:r>
      <w:r w:rsidR="003805C3">
        <w:rPr>
          <w:rFonts w:eastAsia="MS Mincho"/>
          <w:sz w:val="22"/>
        </w:rPr>
        <w:tab/>
      </w:r>
      <w:r w:rsidR="003805C3">
        <w:rPr>
          <w:rFonts w:eastAsia="MS Mincho"/>
          <w:sz w:val="22"/>
        </w:rPr>
        <w:tab/>
      </w:r>
      <w:r w:rsidR="003805C3">
        <w:rPr>
          <w:rFonts w:eastAsia="MS Mincho"/>
          <w:sz w:val="22"/>
        </w:rPr>
        <w:tab/>
      </w:r>
      <w:r w:rsidR="003805C3">
        <w:rPr>
          <w:rFonts w:eastAsia="MS Mincho"/>
          <w:sz w:val="22"/>
        </w:rPr>
        <w:tab/>
      </w:r>
      <w:r w:rsidR="00DA6C6D">
        <w:rPr>
          <w:rFonts w:eastAsia="MS Mincho"/>
          <w:sz w:val="22"/>
        </w:rPr>
        <w:t>Firma: _________________________</w:t>
      </w:r>
    </w:p>
    <w:sectPr w:rsidR="00DA6C6D" w:rsidSect="00514C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4C6"/>
    <w:multiLevelType w:val="hybridMultilevel"/>
    <w:tmpl w:val="42485576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2DC"/>
    <w:multiLevelType w:val="hybridMultilevel"/>
    <w:tmpl w:val="BAD4ED76"/>
    <w:lvl w:ilvl="0" w:tplc="FFFFFFFF">
      <w:start w:val="1"/>
      <w:numFmt w:val="bullet"/>
      <w:lvlText w:val=""/>
      <w:lvlJc w:val="left"/>
      <w:pPr>
        <w:tabs>
          <w:tab w:val="num" w:pos="663"/>
        </w:tabs>
        <w:ind w:left="10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">
    <w:nsid w:val="0EF748AE"/>
    <w:multiLevelType w:val="hybridMultilevel"/>
    <w:tmpl w:val="0D8AA4AA"/>
    <w:lvl w:ilvl="0" w:tplc="6778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7472B"/>
    <w:multiLevelType w:val="hybridMultilevel"/>
    <w:tmpl w:val="105ABC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D02426"/>
    <w:multiLevelType w:val="hybridMultilevel"/>
    <w:tmpl w:val="FA80C75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7B77F4"/>
    <w:multiLevelType w:val="hybridMultilevel"/>
    <w:tmpl w:val="45D0D05A"/>
    <w:lvl w:ilvl="0" w:tplc="46FA4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8C1BBC"/>
    <w:multiLevelType w:val="hybridMultilevel"/>
    <w:tmpl w:val="DC18082A"/>
    <w:lvl w:ilvl="0" w:tplc="F9BC5D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C7A37"/>
    <w:multiLevelType w:val="hybridMultilevel"/>
    <w:tmpl w:val="E71CC778"/>
    <w:lvl w:ilvl="0" w:tplc="748A4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513E3"/>
    <w:multiLevelType w:val="hybridMultilevel"/>
    <w:tmpl w:val="4516BB0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8A718B"/>
    <w:multiLevelType w:val="hybridMultilevel"/>
    <w:tmpl w:val="66266112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B31F1"/>
    <w:multiLevelType w:val="hybridMultilevel"/>
    <w:tmpl w:val="4B824C1C"/>
    <w:lvl w:ilvl="0" w:tplc="EC6CB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86F51"/>
    <w:multiLevelType w:val="hybridMultilevel"/>
    <w:tmpl w:val="CF6AB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D99"/>
    <w:multiLevelType w:val="hybridMultilevel"/>
    <w:tmpl w:val="D090DDC0"/>
    <w:lvl w:ilvl="0" w:tplc="721CF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744CF"/>
    <w:multiLevelType w:val="hybridMultilevel"/>
    <w:tmpl w:val="7034F9BE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F0DC9"/>
    <w:multiLevelType w:val="hybridMultilevel"/>
    <w:tmpl w:val="F9584024"/>
    <w:lvl w:ilvl="0" w:tplc="754C79B0">
      <w:start w:val="1"/>
      <w:numFmt w:val="bullet"/>
      <w:lvlText w:val=""/>
      <w:legacy w:legacy="1" w:legacySpace="0" w:legacyIndent="360"/>
      <w:lvlJc w:val="left"/>
      <w:pPr>
        <w:ind w:left="3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15">
    <w:nsid w:val="4C13313D"/>
    <w:multiLevelType w:val="hybridMultilevel"/>
    <w:tmpl w:val="6AD0214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1F25AC"/>
    <w:multiLevelType w:val="hybridMultilevel"/>
    <w:tmpl w:val="FF7278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0A632D2"/>
    <w:multiLevelType w:val="hybridMultilevel"/>
    <w:tmpl w:val="830CCD7E"/>
    <w:lvl w:ilvl="0" w:tplc="BD089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525B5"/>
    <w:multiLevelType w:val="multilevel"/>
    <w:tmpl w:val="85487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53C73D00"/>
    <w:multiLevelType w:val="hybridMultilevel"/>
    <w:tmpl w:val="BFD606E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4894D95"/>
    <w:multiLevelType w:val="hybridMultilevel"/>
    <w:tmpl w:val="02C80984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77D6E"/>
    <w:multiLevelType w:val="multilevel"/>
    <w:tmpl w:val="B814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C1332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F7663"/>
    <w:multiLevelType w:val="hybridMultilevel"/>
    <w:tmpl w:val="27D445DE"/>
    <w:lvl w:ilvl="0" w:tplc="40AE9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96BD6"/>
    <w:multiLevelType w:val="hybridMultilevel"/>
    <w:tmpl w:val="66727B02"/>
    <w:lvl w:ilvl="0" w:tplc="CA8E3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65FB4"/>
    <w:multiLevelType w:val="hybridMultilevel"/>
    <w:tmpl w:val="88E8911A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87A65"/>
    <w:multiLevelType w:val="hybridMultilevel"/>
    <w:tmpl w:val="76B44E20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CC61049"/>
    <w:multiLevelType w:val="hybridMultilevel"/>
    <w:tmpl w:val="DD8CF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746A0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04D5C"/>
    <w:multiLevelType w:val="hybridMultilevel"/>
    <w:tmpl w:val="1A1892FC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4419B"/>
    <w:multiLevelType w:val="hybridMultilevel"/>
    <w:tmpl w:val="23F4CA58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24"/>
  </w:num>
  <w:num w:numId="5">
    <w:abstractNumId w:val="25"/>
  </w:num>
  <w:num w:numId="6">
    <w:abstractNumId w:val="13"/>
  </w:num>
  <w:num w:numId="7">
    <w:abstractNumId w:val="0"/>
  </w:num>
  <w:num w:numId="8">
    <w:abstractNumId w:val="1"/>
  </w:num>
  <w:num w:numId="9">
    <w:abstractNumId w:val="16"/>
  </w:num>
  <w:num w:numId="10">
    <w:abstractNumId w:val="15"/>
  </w:num>
  <w:num w:numId="11">
    <w:abstractNumId w:val="19"/>
  </w:num>
  <w:num w:numId="12">
    <w:abstractNumId w:val="8"/>
  </w:num>
  <w:num w:numId="13">
    <w:abstractNumId w:val="3"/>
  </w:num>
  <w:num w:numId="14">
    <w:abstractNumId w:val="26"/>
  </w:num>
  <w:num w:numId="15">
    <w:abstractNumId w:val="4"/>
  </w:num>
  <w:num w:numId="16">
    <w:abstractNumId w:val="30"/>
  </w:num>
  <w:num w:numId="17">
    <w:abstractNumId w:val="17"/>
  </w:num>
  <w:num w:numId="18">
    <w:abstractNumId w:val="12"/>
  </w:num>
  <w:num w:numId="19">
    <w:abstractNumId w:val="21"/>
  </w:num>
  <w:num w:numId="20">
    <w:abstractNumId w:val="2"/>
  </w:num>
  <w:num w:numId="21">
    <w:abstractNumId w:val="28"/>
  </w:num>
  <w:num w:numId="22">
    <w:abstractNumId w:val="22"/>
  </w:num>
  <w:num w:numId="23">
    <w:abstractNumId w:val="29"/>
  </w:num>
  <w:num w:numId="24">
    <w:abstractNumId w:val="7"/>
  </w:num>
  <w:num w:numId="25">
    <w:abstractNumId w:val="9"/>
  </w:num>
  <w:num w:numId="26">
    <w:abstractNumId w:val="20"/>
  </w:num>
  <w:num w:numId="27">
    <w:abstractNumId w:val="14"/>
  </w:num>
  <w:num w:numId="28">
    <w:abstractNumId w:val="27"/>
  </w:num>
  <w:num w:numId="29">
    <w:abstractNumId w:val="6"/>
  </w:num>
  <w:num w:numId="30">
    <w:abstractNumId w:val="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FB"/>
    <w:rsid w:val="000103A0"/>
    <w:rsid w:val="000416F8"/>
    <w:rsid w:val="00064575"/>
    <w:rsid w:val="000837D2"/>
    <w:rsid w:val="000A7F37"/>
    <w:rsid w:val="000B1C23"/>
    <w:rsid w:val="00104E8C"/>
    <w:rsid w:val="00107C10"/>
    <w:rsid w:val="00135207"/>
    <w:rsid w:val="00173829"/>
    <w:rsid w:val="0017499B"/>
    <w:rsid w:val="0017539B"/>
    <w:rsid w:val="00191A68"/>
    <w:rsid w:val="0019388A"/>
    <w:rsid w:val="001F0FAD"/>
    <w:rsid w:val="00202ED7"/>
    <w:rsid w:val="00227EFB"/>
    <w:rsid w:val="002472C6"/>
    <w:rsid w:val="00264995"/>
    <w:rsid w:val="0028694B"/>
    <w:rsid w:val="002B3C58"/>
    <w:rsid w:val="002D1F69"/>
    <w:rsid w:val="002E02AE"/>
    <w:rsid w:val="003017BE"/>
    <w:rsid w:val="003120C4"/>
    <w:rsid w:val="00364B15"/>
    <w:rsid w:val="003805C3"/>
    <w:rsid w:val="0044122E"/>
    <w:rsid w:val="004C19FB"/>
    <w:rsid w:val="004C663B"/>
    <w:rsid w:val="0050033A"/>
    <w:rsid w:val="00514CB5"/>
    <w:rsid w:val="005812CD"/>
    <w:rsid w:val="005C5A21"/>
    <w:rsid w:val="00603E45"/>
    <w:rsid w:val="00640C43"/>
    <w:rsid w:val="00652BD1"/>
    <w:rsid w:val="00657F77"/>
    <w:rsid w:val="006A2114"/>
    <w:rsid w:val="006C4A6B"/>
    <w:rsid w:val="006C521D"/>
    <w:rsid w:val="00725D13"/>
    <w:rsid w:val="00740D40"/>
    <w:rsid w:val="007A3B0D"/>
    <w:rsid w:val="007B5226"/>
    <w:rsid w:val="007F02E7"/>
    <w:rsid w:val="00864F79"/>
    <w:rsid w:val="0087468C"/>
    <w:rsid w:val="008C5A8A"/>
    <w:rsid w:val="00903BE4"/>
    <w:rsid w:val="00905468"/>
    <w:rsid w:val="00921E11"/>
    <w:rsid w:val="009261EE"/>
    <w:rsid w:val="00950B80"/>
    <w:rsid w:val="00986DE1"/>
    <w:rsid w:val="00987BAC"/>
    <w:rsid w:val="009D772A"/>
    <w:rsid w:val="00A14D30"/>
    <w:rsid w:val="00A17C3E"/>
    <w:rsid w:val="00A9005D"/>
    <w:rsid w:val="00A93A3E"/>
    <w:rsid w:val="00AC3222"/>
    <w:rsid w:val="00AC3834"/>
    <w:rsid w:val="00AC732C"/>
    <w:rsid w:val="00B22885"/>
    <w:rsid w:val="00B4637E"/>
    <w:rsid w:val="00B61386"/>
    <w:rsid w:val="00B76D21"/>
    <w:rsid w:val="00B8307D"/>
    <w:rsid w:val="00BE0630"/>
    <w:rsid w:val="00C34E86"/>
    <w:rsid w:val="00C36ABD"/>
    <w:rsid w:val="00C54107"/>
    <w:rsid w:val="00C9567A"/>
    <w:rsid w:val="00CB1390"/>
    <w:rsid w:val="00D05D83"/>
    <w:rsid w:val="00D3752B"/>
    <w:rsid w:val="00D42F94"/>
    <w:rsid w:val="00D46591"/>
    <w:rsid w:val="00D50BA1"/>
    <w:rsid w:val="00D60070"/>
    <w:rsid w:val="00D64AB9"/>
    <w:rsid w:val="00DA6C6D"/>
    <w:rsid w:val="00DB612E"/>
    <w:rsid w:val="00DC6F18"/>
    <w:rsid w:val="00E15E90"/>
    <w:rsid w:val="00E17FE6"/>
    <w:rsid w:val="00E2446B"/>
    <w:rsid w:val="00E431BC"/>
    <w:rsid w:val="00E56E02"/>
    <w:rsid w:val="00EA47E1"/>
    <w:rsid w:val="00EA5C69"/>
    <w:rsid w:val="00EC7D1E"/>
    <w:rsid w:val="00ED383F"/>
    <w:rsid w:val="00F17A40"/>
    <w:rsid w:val="00F360F4"/>
    <w:rsid w:val="00F41169"/>
    <w:rsid w:val="00F41CC3"/>
    <w:rsid w:val="00F83A64"/>
    <w:rsid w:val="00F8644E"/>
    <w:rsid w:val="00F872D3"/>
    <w:rsid w:val="00FB1828"/>
    <w:rsid w:val="00FD0DBE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ED383F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D38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644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50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50B8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semiHidden/>
    <w:rsid w:val="00C5410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54107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54107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07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ED383F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D38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644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50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50B8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semiHidden/>
    <w:rsid w:val="00C5410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54107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54107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0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4242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88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651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35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2.xls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3777-EF1B-45DF-936D-1A84AE45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a</cp:lastModifiedBy>
  <cp:revision>2</cp:revision>
  <cp:lastPrinted>2019-03-08T16:46:00Z</cp:lastPrinted>
  <dcterms:created xsi:type="dcterms:W3CDTF">2019-04-16T08:09:00Z</dcterms:created>
  <dcterms:modified xsi:type="dcterms:W3CDTF">2019-04-16T08:09:00Z</dcterms:modified>
</cp:coreProperties>
</file>